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04" w:rsidRDefault="00724294" w:rsidP="00D34304">
      <w:pPr>
        <w:jc w:val="center"/>
        <w:rPr>
          <w:rStyle w:val="Heading1Char"/>
          <w:rFonts w:eastAsia="Calibri"/>
        </w:rPr>
      </w:pPr>
      <w:bookmarkStart w:id="0" w:name="_GoBack"/>
      <w:bookmarkEnd w:id="0"/>
      <w:r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2660650" cy="1028785"/>
            <wp:effectExtent l="0" t="0" r="0" b="0"/>
            <wp:docPr id="1" name="Picture 1" descr="AlaskaRespons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skaResponse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530" cy="103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FCE" w:rsidRDefault="009F52D1" w:rsidP="00525918">
      <w:r w:rsidRPr="00001823">
        <w:rPr>
          <w:rStyle w:val="Heading1Char"/>
          <w:rFonts w:eastAsia="Calibri"/>
          <w:color w:val="365F91"/>
        </w:rPr>
        <w:t>A</w:t>
      </w:r>
      <w:r w:rsidR="00C206BF" w:rsidRPr="00001823">
        <w:rPr>
          <w:rStyle w:val="Heading1Char"/>
          <w:rFonts w:eastAsia="Calibri"/>
          <w:color w:val="365F91"/>
        </w:rPr>
        <w:t>laska</w:t>
      </w:r>
      <w:r w:rsidRPr="00001823">
        <w:rPr>
          <w:rStyle w:val="Heading1Char"/>
          <w:rFonts w:eastAsia="Calibri"/>
          <w:color w:val="365F91"/>
        </w:rPr>
        <w:t xml:space="preserve"> Respond</w:t>
      </w:r>
      <w:r w:rsidR="009E1DC7" w:rsidRPr="009E1DC7">
        <w:t xml:space="preserve"> volunteers may be requested </w:t>
      </w:r>
      <w:r w:rsidR="008D2FCE">
        <w:t xml:space="preserve">to </w:t>
      </w:r>
      <w:r w:rsidR="008D2FCE" w:rsidRPr="008D2FCE">
        <w:t xml:space="preserve">supplement </w:t>
      </w:r>
      <w:r w:rsidR="00976827">
        <w:t>h</w:t>
      </w:r>
      <w:r w:rsidR="00D34304">
        <w:t>ealthcare</w:t>
      </w:r>
      <w:r w:rsidR="00976827">
        <w:t xml:space="preserve"> </w:t>
      </w:r>
      <w:r w:rsidR="008D2FCE">
        <w:t>personnel</w:t>
      </w:r>
      <w:r w:rsidR="008D2FCE" w:rsidRPr="008D2FCE">
        <w:t xml:space="preserve"> </w:t>
      </w:r>
      <w:r w:rsidR="009E1DC7" w:rsidRPr="009E1DC7">
        <w:t xml:space="preserve">for a variety of </w:t>
      </w:r>
      <w:r w:rsidR="008D2FCE">
        <w:t>disaster</w:t>
      </w:r>
      <w:r w:rsidR="00976827">
        <w:t>s or public health emergencies.</w:t>
      </w:r>
      <w:r w:rsidR="00D34304">
        <w:t xml:space="preserve">  Listed below are considerations, and steps on how to submit the request form.</w:t>
      </w:r>
    </w:p>
    <w:p w:rsidR="00976827" w:rsidRPr="00001823" w:rsidRDefault="001E4E6A" w:rsidP="007E6003">
      <w:pPr>
        <w:pStyle w:val="Heading1"/>
        <w:rPr>
          <w:color w:val="365F91"/>
        </w:rPr>
      </w:pPr>
      <w:r w:rsidRPr="00001823">
        <w:rPr>
          <w:color w:val="365F91"/>
        </w:rPr>
        <w:t>Considerations</w:t>
      </w:r>
    </w:p>
    <w:p w:rsidR="00976827" w:rsidRDefault="00262417" w:rsidP="00D34304">
      <w:pPr>
        <w:numPr>
          <w:ilvl w:val="0"/>
          <w:numId w:val="14"/>
        </w:numPr>
      </w:pPr>
      <w:r w:rsidRPr="00262417">
        <w:t>Before requesting</w:t>
      </w:r>
      <w:r>
        <w:t xml:space="preserve"> AK Respond volunteers contact the DHSS Emergency Operations Center 24/7 Duty Officer at 907-903-3721 to discuss the </w:t>
      </w:r>
      <w:r w:rsidRPr="004C78FD">
        <w:t xml:space="preserve">situation </w:t>
      </w:r>
      <w:r w:rsidR="004C78FD" w:rsidRPr="004C78FD">
        <w:t>that</w:t>
      </w:r>
      <w:r w:rsidRPr="004C78FD">
        <w:t xml:space="preserve"> may</w:t>
      </w:r>
      <w:r>
        <w:t xml:space="preserve"> require AK Respond volunteers.</w:t>
      </w:r>
    </w:p>
    <w:p w:rsidR="00262417" w:rsidRDefault="00262417" w:rsidP="00D34304">
      <w:pPr>
        <w:numPr>
          <w:ilvl w:val="0"/>
          <w:numId w:val="14"/>
        </w:numPr>
      </w:pPr>
      <w:r>
        <w:t>The DHSS Incident Commander</w:t>
      </w:r>
      <w:r w:rsidR="004C78FD">
        <w:t>,</w:t>
      </w:r>
      <w:r>
        <w:t xml:space="preserve"> in consultation</w:t>
      </w:r>
      <w:r w:rsidR="000A1FF1">
        <w:t xml:space="preserve"> with the AK Respond program personnel</w:t>
      </w:r>
      <w:r w:rsidR="004C78FD">
        <w:t>,</w:t>
      </w:r>
      <w:r w:rsidR="000E305B">
        <w:t xml:space="preserve"> </w:t>
      </w:r>
      <w:r w:rsidR="00820085">
        <w:t xml:space="preserve">will </w:t>
      </w:r>
      <w:r>
        <w:t xml:space="preserve">verify if the </w:t>
      </w:r>
      <w:r w:rsidR="004C78FD">
        <w:t xml:space="preserve">community / </w:t>
      </w:r>
      <w:r w:rsidRPr="004C78FD">
        <w:t>hospital h</w:t>
      </w:r>
      <w:r>
        <w:t>as exhausted all lo</w:t>
      </w:r>
      <w:r w:rsidR="000E305B">
        <w:t>cal resources before activation of AK Respond.</w:t>
      </w:r>
    </w:p>
    <w:p w:rsidR="006A7921" w:rsidRDefault="00262417" w:rsidP="00D34304">
      <w:pPr>
        <w:numPr>
          <w:ilvl w:val="0"/>
          <w:numId w:val="14"/>
        </w:numPr>
      </w:pPr>
      <w:r>
        <w:t>Once DHSS Emergency Operations Center activates AK Re</w:t>
      </w:r>
      <w:r w:rsidR="00D34304">
        <w:t>spond and sends out the notification to volunteers,</w:t>
      </w:r>
      <w:r>
        <w:t xml:space="preserve"> it can take up to 48 hours </w:t>
      </w:r>
      <w:r w:rsidR="00D34304">
        <w:t>for</w:t>
      </w:r>
      <w:r>
        <w:t xml:space="preserve"> deploy</w:t>
      </w:r>
      <w:r w:rsidR="00D34304">
        <w:t>ment</w:t>
      </w:r>
      <w:r>
        <w:t>.  The delay in time is dependent upon deployment location, volunteer status i.e. state emergency hire vs</w:t>
      </w:r>
      <w:r w:rsidR="007E6003">
        <w:t>.</w:t>
      </w:r>
      <w:r>
        <w:t xml:space="preserve"> hospital hire, travel method and availability of volunteers.  </w:t>
      </w:r>
      <w:r w:rsidR="007E6003">
        <w:t>The more specialized the type of provider</w:t>
      </w:r>
      <w:r w:rsidR="00542C53">
        <w:t>,</w:t>
      </w:r>
      <w:r w:rsidR="007E6003">
        <w:t xml:space="preserve"> the less likely we can meet your request.  Consider AK Respond volunteers as generalists to back up your staff</w:t>
      </w:r>
      <w:r w:rsidR="004C78FD">
        <w:t xml:space="preserve">. </w:t>
      </w:r>
      <w:r w:rsidR="00D34304">
        <w:t>You may be able to shift</w:t>
      </w:r>
      <w:r w:rsidR="007E6003">
        <w:t xml:space="preserve"> your </w:t>
      </w:r>
      <w:r w:rsidR="00D34304">
        <w:t>staff to the affected department</w:t>
      </w:r>
      <w:r w:rsidR="007E6003">
        <w:t xml:space="preserve"> and </w:t>
      </w:r>
      <w:r w:rsidR="00D34304">
        <w:t xml:space="preserve">use </w:t>
      </w:r>
      <w:r w:rsidR="007E6003">
        <w:t xml:space="preserve">AK Respond </w:t>
      </w:r>
      <w:r w:rsidR="00D34304">
        <w:t>volunteers</w:t>
      </w:r>
      <w:r w:rsidR="00E1759B">
        <w:t xml:space="preserve"> to </w:t>
      </w:r>
      <w:r w:rsidR="004C78FD">
        <w:t xml:space="preserve">assist in triage, </w:t>
      </w:r>
      <w:r w:rsidR="00E1759B">
        <w:t xml:space="preserve">staff </w:t>
      </w:r>
      <w:r w:rsidR="004C78FD">
        <w:t>a first aid or treatment center or a general hospital unit.</w:t>
      </w:r>
    </w:p>
    <w:p w:rsidR="006A7921" w:rsidRDefault="006A7921" w:rsidP="00D34304">
      <w:pPr>
        <w:numPr>
          <w:ilvl w:val="0"/>
          <w:numId w:val="14"/>
        </w:numPr>
      </w:pPr>
      <w:r>
        <w:t xml:space="preserve">AK </w:t>
      </w:r>
      <w:r w:rsidR="00AC5125">
        <w:t>Respond</w:t>
      </w:r>
      <w:r w:rsidR="00714649">
        <w:t xml:space="preserve"> will coordinate </w:t>
      </w:r>
      <w:r w:rsidR="005F393D">
        <w:t xml:space="preserve">and present </w:t>
      </w:r>
      <w:r>
        <w:t>“</w:t>
      </w:r>
      <w:r w:rsidRPr="00AC70F0">
        <w:t xml:space="preserve">Just </w:t>
      </w:r>
      <w:r>
        <w:t>i</w:t>
      </w:r>
      <w:r w:rsidRPr="00AC70F0">
        <w:t xml:space="preserve">n </w:t>
      </w:r>
      <w:r>
        <w:t>T</w:t>
      </w:r>
      <w:r w:rsidRPr="00AC70F0">
        <w:t>ime</w:t>
      </w:r>
      <w:r>
        <w:t>”</w:t>
      </w:r>
      <w:r w:rsidRPr="00AC70F0">
        <w:t xml:space="preserve"> trai</w:t>
      </w:r>
      <w:r>
        <w:t>ning</w:t>
      </w:r>
      <w:r w:rsidRPr="00AC70F0">
        <w:t xml:space="preserve"> for volunteers</w:t>
      </w:r>
      <w:r w:rsidR="005F393D">
        <w:t>.  It is recommended that</w:t>
      </w:r>
      <w:r>
        <w:t xml:space="preserve"> volunteers shadow facility staff to ensure they</w:t>
      </w:r>
      <w:r w:rsidR="005F393D">
        <w:t xml:space="preserve"> are following facility policies, </w:t>
      </w:r>
      <w:r>
        <w:t>procedures and have access to necessary pharmaceuticals, medical supplies and equipment.</w:t>
      </w:r>
    </w:p>
    <w:p w:rsidR="006A7921" w:rsidRDefault="006A7921" w:rsidP="00D34304">
      <w:pPr>
        <w:numPr>
          <w:ilvl w:val="0"/>
          <w:numId w:val="14"/>
        </w:numPr>
      </w:pPr>
      <w:r>
        <w:t>Send a map of the community and healthcare facility with the request to facilitate quicker deployment.</w:t>
      </w:r>
    </w:p>
    <w:p w:rsidR="004272C3" w:rsidRPr="00001823" w:rsidRDefault="002460C8" w:rsidP="007E6003">
      <w:pPr>
        <w:pStyle w:val="Heading1"/>
        <w:rPr>
          <w:color w:val="365F91"/>
        </w:rPr>
      </w:pPr>
      <w:r w:rsidRPr="00001823">
        <w:rPr>
          <w:color w:val="365F91"/>
        </w:rPr>
        <w:t xml:space="preserve">Steps to </w:t>
      </w:r>
      <w:r w:rsidR="00ED0CA4" w:rsidRPr="00001823">
        <w:rPr>
          <w:color w:val="365F91"/>
        </w:rPr>
        <w:t xml:space="preserve">Request </w:t>
      </w:r>
      <w:r w:rsidRPr="00001823">
        <w:rPr>
          <w:color w:val="365F91"/>
        </w:rPr>
        <w:t xml:space="preserve">AK Respond </w:t>
      </w:r>
      <w:r w:rsidR="00ED0CA4" w:rsidRPr="00001823">
        <w:rPr>
          <w:color w:val="365F91"/>
        </w:rPr>
        <w:t>Volunteers</w:t>
      </w:r>
    </w:p>
    <w:p w:rsidR="00976827" w:rsidRDefault="002460C8" w:rsidP="00525918">
      <w:r w:rsidRPr="007E6003">
        <w:rPr>
          <w:b/>
        </w:rPr>
        <w:t>Step 1:</w:t>
      </w:r>
      <w:r>
        <w:tab/>
      </w:r>
      <w:r w:rsidR="007A0EC7" w:rsidRPr="00226B2D">
        <w:t>Complete</w:t>
      </w:r>
      <w:r w:rsidR="00542C53">
        <w:t xml:space="preserve"> </w:t>
      </w:r>
      <w:r w:rsidR="00542C53" w:rsidRPr="00542C53">
        <w:t xml:space="preserve">the </w:t>
      </w:r>
      <w:r w:rsidR="00F12215">
        <w:t>“</w:t>
      </w:r>
      <w:r w:rsidRPr="00542C53">
        <w:t>Checklist for</w:t>
      </w:r>
      <w:r>
        <w:t xml:space="preserve"> Mobilization of Alaska Respond Volunteers Form</w:t>
      </w:r>
      <w:r w:rsidR="00F12215">
        <w:t>”</w:t>
      </w:r>
      <w:r>
        <w:t>.  The form can be accessed from the AK Respond website</w:t>
      </w:r>
      <w:r w:rsidR="00976827">
        <w:t xml:space="preserve"> </w:t>
      </w:r>
      <w:hyperlink r:id="rId6" w:history="1">
        <w:r w:rsidR="00262417" w:rsidRPr="00520F61">
          <w:rPr>
            <w:rStyle w:val="Hyperlink"/>
          </w:rPr>
          <w:t>www.akrespond.alaska.gov</w:t>
        </w:r>
      </w:hyperlink>
      <w:r w:rsidR="00262417">
        <w:t xml:space="preserve"> </w:t>
      </w:r>
      <w:r w:rsidR="00976827">
        <w:t xml:space="preserve">or request the form from </w:t>
      </w:r>
      <w:hyperlink r:id="rId7" w:history="1">
        <w:r w:rsidR="00976827" w:rsidRPr="00520F61">
          <w:rPr>
            <w:rStyle w:val="Hyperlink"/>
          </w:rPr>
          <w:t>dhsseoc@alaska.gov</w:t>
        </w:r>
      </w:hyperlink>
      <w:r>
        <w:t>.</w:t>
      </w:r>
    </w:p>
    <w:p w:rsidR="00525918" w:rsidRPr="00226B2D" w:rsidRDefault="00262417" w:rsidP="00525918">
      <w:r w:rsidRPr="007E6003">
        <w:rPr>
          <w:b/>
        </w:rPr>
        <w:t>Step 2:</w:t>
      </w:r>
      <w:r>
        <w:t xml:space="preserve"> Submit the completed form to </w:t>
      </w:r>
      <w:hyperlink r:id="rId8" w:history="1">
        <w:r w:rsidRPr="00520F61">
          <w:rPr>
            <w:rStyle w:val="Hyperlink"/>
          </w:rPr>
          <w:t>dhsseoc@alaska.gov</w:t>
        </w:r>
      </w:hyperlink>
      <w:r>
        <w:t xml:space="preserve"> or fax to 907-269-0036.</w:t>
      </w:r>
    </w:p>
    <w:p w:rsidR="008D2FCE" w:rsidRPr="008D2FCE" w:rsidRDefault="00262417" w:rsidP="00262417">
      <w:pPr>
        <w:spacing w:after="0"/>
        <w:rPr>
          <w:color w:val="0070C0"/>
        </w:rPr>
      </w:pPr>
      <w:r w:rsidRPr="007E6003">
        <w:rPr>
          <w:b/>
        </w:rPr>
        <w:t>Step 3:</w:t>
      </w:r>
      <w:r>
        <w:t xml:space="preserve"> The AK </w:t>
      </w:r>
      <w:r w:rsidR="00AA7ED9">
        <w:t xml:space="preserve">Respond program personnel </w:t>
      </w:r>
      <w:r>
        <w:t xml:space="preserve">will initiate contact </w:t>
      </w:r>
      <w:r w:rsidR="001E4E6A">
        <w:t xml:space="preserve">with </w:t>
      </w:r>
      <w:r>
        <w:t xml:space="preserve">the requesting entity to validate the information on the form and keep an open channel for </w:t>
      </w:r>
      <w:r w:rsidR="00AA7ED9">
        <w:t xml:space="preserve">further </w:t>
      </w:r>
      <w:r>
        <w:t>communication on this request.</w:t>
      </w:r>
    </w:p>
    <w:p w:rsidR="00262417" w:rsidRPr="00001823" w:rsidRDefault="006A7921" w:rsidP="007E6003">
      <w:pPr>
        <w:pStyle w:val="Heading1"/>
        <w:rPr>
          <w:color w:val="365F91"/>
        </w:rPr>
      </w:pPr>
      <w:r>
        <w:br w:type="page"/>
      </w:r>
      <w:r w:rsidR="00262417" w:rsidRPr="00001823">
        <w:rPr>
          <w:color w:val="365F91"/>
        </w:rPr>
        <w:lastRenderedPageBreak/>
        <w:t>How to C</w:t>
      </w:r>
      <w:r w:rsidR="00AA7ED9">
        <w:rPr>
          <w:color w:val="365F91"/>
        </w:rPr>
        <w:t xml:space="preserve">omplete the </w:t>
      </w:r>
      <w:r w:rsidR="00E226B7">
        <w:rPr>
          <w:color w:val="365F91"/>
        </w:rPr>
        <w:t>“</w:t>
      </w:r>
      <w:r w:rsidR="00262417" w:rsidRPr="00001823">
        <w:rPr>
          <w:color w:val="365F91"/>
        </w:rPr>
        <w:t>Checklist for Mobilization of Alaska Respond Volunteers</w:t>
      </w:r>
      <w:r w:rsidR="00E226B7">
        <w:rPr>
          <w:color w:val="365F91"/>
        </w:rPr>
        <w:t>”</w:t>
      </w:r>
      <w:r w:rsidR="00262417" w:rsidRPr="00001823">
        <w:rPr>
          <w:color w:val="365F91"/>
        </w:rPr>
        <w:t xml:space="preserve"> Form</w:t>
      </w:r>
    </w:p>
    <w:p w:rsidR="00A11F30" w:rsidRDefault="00A11F30" w:rsidP="00A11F30">
      <w:pPr>
        <w:spacing w:after="0"/>
      </w:pPr>
      <w:r>
        <w:sym w:font="Symbol" w:char="F0B7"/>
      </w:r>
      <w:r>
        <w:t xml:space="preserve"> </w:t>
      </w:r>
      <w:r w:rsidR="00B12771">
        <w:t>Write legibly or complete the form in Microsof</w:t>
      </w:r>
      <w:r w:rsidR="001E4E6A">
        <w:t>t Word. If completing the form b</w:t>
      </w:r>
      <w:r w:rsidR="00B12771">
        <w:t>y hand, use a dark ink.</w:t>
      </w:r>
    </w:p>
    <w:p w:rsidR="00A11F30" w:rsidRDefault="00A11F30" w:rsidP="00A11F30">
      <w:pPr>
        <w:spacing w:after="0"/>
      </w:pPr>
    </w:p>
    <w:p w:rsidR="00B12771" w:rsidRDefault="00863D0F" w:rsidP="00B12771">
      <w:pPr>
        <w:spacing w:after="0"/>
      </w:pPr>
      <w:r>
        <w:t>Contact Info</w:t>
      </w:r>
      <w:r w:rsidR="00A11F30">
        <w:tab/>
      </w:r>
      <w:r w:rsidR="00723489">
        <w:t>Complete the contact information</w:t>
      </w:r>
      <w:r w:rsidR="00A2418C">
        <w:t xml:space="preserve"> at the top of the form</w:t>
      </w:r>
      <w:r w:rsidR="00723489">
        <w:t>.</w:t>
      </w:r>
    </w:p>
    <w:p w:rsidR="00723489" w:rsidRDefault="00863D0F" w:rsidP="00B12771">
      <w:pPr>
        <w:spacing w:after="0"/>
      </w:pPr>
      <w:r>
        <w:t>Section 1:</w:t>
      </w:r>
      <w:r>
        <w:tab/>
        <w:t>Circle yes/no</w:t>
      </w:r>
      <w:r w:rsidR="00723489">
        <w:t xml:space="preserve"> if your healthcare facility has exhausted all internal resources.</w:t>
      </w:r>
    </w:p>
    <w:p w:rsidR="00723489" w:rsidRDefault="00863D0F" w:rsidP="00B12771">
      <w:pPr>
        <w:spacing w:after="0"/>
      </w:pPr>
      <w:r>
        <w:t>Section 2:</w:t>
      </w:r>
      <w:r>
        <w:tab/>
        <w:t xml:space="preserve">Circle yes/no </w:t>
      </w:r>
      <w:r w:rsidR="00AA2D5D">
        <w:t>if you have</w:t>
      </w:r>
      <w:r w:rsidR="00723489">
        <w:t xml:space="preserve"> exhausted all community resources.</w:t>
      </w:r>
    </w:p>
    <w:p w:rsidR="00723489" w:rsidRDefault="00B12771" w:rsidP="00B12771">
      <w:pPr>
        <w:spacing w:after="0"/>
      </w:pPr>
      <w:r>
        <w:t>Section 3:</w:t>
      </w:r>
      <w:r>
        <w:tab/>
        <w:t>Document</w:t>
      </w:r>
      <w:r w:rsidR="00723489">
        <w:t xml:space="preserve"> the quantity of licensed healthcare professionals and specialty requested.</w:t>
      </w:r>
    </w:p>
    <w:p w:rsidR="0012238F" w:rsidRDefault="00B12771" w:rsidP="00B12771">
      <w:pPr>
        <w:spacing w:after="0"/>
        <w:ind w:left="1440" w:hanging="1440"/>
      </w:pPr>
      <w:r>
        <w:t>Section 4:</w:t>
      </w:r>
      <w:r>
        <w:tab/>
        <w:t>Document the type of healthcare professional and check the</w:t>
      </w:r>
      <w:r w:rsidR="0012238F">
        <w:t xml:space="preserve"> </w:t>
      </w:r>
      <w:r>
        <w:t xml:space="preserve">box for the </w:t>
      </w:r>
      <w:r w:rsidR="0012238F">
        <w:t xml:space="preserve">length of </w:t>
      </w:r>
      <w:r>
        <w:t>deployment the</w:t>
      </w:r>
      <w:r w:rsidR="0012238F">
        <w:t xml:space="preserve"> volunteers are needed at your facility.</w:t>
      </w:r>
      <w:r>
        <w:t xml:space="preserve"> Add additional boxes if needed.</w:t>
      </w:r>
    </w:p>
    <w:p w:rsidR="0012238F" w:rsidRDefault="00B12771" w:rsidP="00B12771">
      <w:pPr>
        <w:spacing w:after="0"/>
        <w:ind w:left="1440" w:hanging="1440"/>
      </w:pPr>
      <w:r>
        <w:t>Section 5:</w:t>
      </w:r>
      <w:r>
        <w:tab/>
        <w:t>Document the type of healthcare professional and check the box for which shift they will work.  Add additional boxes if needed.</w:t>
      </w:r>
    </w:p>
    <w:p w:rsidR="006A7921" w:rsidRDefault="00B12771" w:rsidP="00B12771">
      <w:pPr>
        <w:spacing w:after="0"/>
        <w:ind w:left="1440" w:hanging="1440"/>
      </w:pPr>
      <w:r>
        <w:t>Section 6:</w:t>
      </w:r>
      <w:r>
        <w:tab/>
      </w:r>
      <w:r w:rsidR="0012238F">
        <w:t>Identify the desired employee status for each type of licensed healthcare volunteer.</w:t>
      </w:r>
      <w:r>
        <w:t xml:space="preserve">  </w:t>
      </w:r>
    </w:p>
    <w:p w:rsidR="006A7921" w:rsidRDefault="006A7921" w:rsidP="006A7921">
      <w:pPr>
        <w:numPr>
          <w:ilvl w:val="0"/>
          <w:numId w:val="12"/>
        </w:numPr>
        <w:spacing w:after="0"/>
      </w:pPr>
      <w:r>
        <w:t>If the volunteer column is checked</w:t>
      </w:r>
      <w:r w:rsidR="00A2418C">
        <w:t>,</w:t>
      </w:r>
      <w:r>
        <w:t xml:space="preserve"> an AK Respond volunteer may not deploy if they are not covered with liability or workman’s compensation.</w:t>
      </w:r>
      <w:r w:rsidR="00A2418C">
        <w:t xml:space="preserve"> </w:t>
      </w:r>
    </w:p>
    <w:p w:rsidR="006A7921" w:rsidRDefault="006A7921" w:rsidP="006A7921">
      <w:pPr>
        <w:numPr>
          <w:ilvl w:val="0"/>
          <w:numId w:val="12"/>
        </w:numPr>
        <w:spacing w:after="0"/>
      </w:pPr>
      <w:r>
        <w:t xml:space="preserve">If your facility will hire the AK Respond volunteer, consider the </w:t>
      </w:r>
      <w:proofErr w:type="gramStart"/>
      <w:r>
        <w:t xml:space="preserve">paperwork </w:t>
      </w:r>
      <w:r w:rsidR="0093557B">
        <w:t xml:space="preserve"> that</w:t>
      </w:r>
      <w:proofErr w:type="gramEnd"/>
      <w:r w:rsidR="0093557B">
        <w:t xml:space="preserve"> they will need </w:t>
      </w:r>
      <w:r>
        <w:t xml:space="preserve">to complete.  </w:t>
      </w:r>
    </w:p>
    <w:p w:rsidR="006A7921" w:rsidRDefault="00B12771" w:rsidP="006A7921">
      <w:pPr>
        <w:numPr>
          <w:ilvl w:val="0"/>
          <w:numId w:val="12"/>
        </w:numPr>
        <w:spacing w:after="0"/>
      </w:pPr>
      <w:r>
        <w:t xml:space="preserve">If requesting state emergency hire, it may take additional time to deploy.  </w:t>
      </w:r>
    </w:p>
    <w:p w:rsidR="0012238F" w:rsidRDefault="00B12771" w:rsidP="006A7921">
      <w:pPr>
        <w:spacing w:after="0"/>
        <w:ind w:left="1440" w:hanging="1440"/>
      </w:pPr>
      <w:r>
        <w:t>Section 7:</w:t>
      </w:r>
      <w:r>
        <w:tab/>
      </w:r>
      <w:r w:rsidR="0012238F">
        <w:t xml:space="preserve">Complete each question </w:t>
      </w:r>
      <w:r>
        <w:t>for where the volunteers will go once they arrive at your facility.</w:t>
      </w:r>
      <w:r w:rsidR="006A7921">
        <w:t xml:space="preserve">  Provide as much information as possible.</w:t>
      </w:r>
    </w:p>
    <w:p w:rsidR="00B12771" w:rsidRDefault="00B12771" w:rsidP="00B12771">
      <w:pPr>
        <w:spacing w:after="0"/>
      </w:pPr>
      <w:r>
        <w:t>Section 8:</w:t>
      </w:r>
      <w:r>
        <w:tab/>
        <w:t xml:space="preserve">Complete each question for the </w:t>
      </w:r>
      <w:r w:rsidR="006A7921">
        <w:t xml:space="preserve">volunteer deployment </w:t>
      </w:r>
      <w:r>
        <w:t>logistics</w:t>
      </w:r>
      <w:r w:rsidR="006A7921">
        <w:t>.</w:t>
      </w:r>
      <w:r>
        <w:t xml:space="preserve"> </w:t>
      </w:r>
    </w:p>
    <w:p w:rsidR="00B12771" w:rsidRDefault="00B12771" w:rsidP="006A7921">
      <w:pPr>
        <w:spacing w:after="0"/>
        <w:ind w:left="1440" w:hanging="1440"/>
      </w:pPr>
      <w:r>
        <w:t>Section 9:</w:t>
      </w:r>
      <w:r>
        <w:tab/>
        <w:t>Estimate when the volunteers need to report to your facility.</w:t>
      </w:r>
      <w:r w:rsidR="006A7921">
        <w:t xml:space="preserve">  Remember it can take up to 48 hours to deploy AK Respond volunteers, depending upon the situation and location.</w:t>
      </w:r>
    </w:p>
    <w:p w:rsidR="00B12771" w:rsidRDefault="00B12771" w:rsidP="00B12771">
      <w:pPr>
        <w:spacing w:after="0"/>
      </w:pPr>
      <w:r>
        <w:t>Section 10:</w:t>
      </w:r>
      <w:r>
        <w:tab/>
        <w:t>Open area to list questions or comments.</w:t>
      </w:r>
    </w:p>
    <w:p w:rsidR="00723489" w:rsidRDefault="00723489" w:rsidP="005B480D">
      <w:pPr>
        <w:spacing w:after="0"/>
      </w:pPr>
    </w:p>
    <w:p w:rsidR="00723489" w:rsidRDefault="00723489" w:rsidP="005B480D">
      <w:pPr>
        <w:spacing w:after="0"/>
      </w:pPr>
    </w:p>
    <w:p w:rsidR="00AC70F0" w:rsidRDefault="00AC70F0" w:rsidP="00BB1BE1">
      <w:pPr>
        <w:spacing w:after="0"/>
      </w:pPr>
    </w:p>
    <w:p w:rsidR="00AC70F0" w:rsidRDefault="00AC70F0" w:rsidP="00BB1BE1">
      <w:pPr>
        <w:spacing w:after="0"/>
        <w:rPr>
          <w:u w:val="single"/>
        </w:rPr>
      </w:pPr>
    </w:p>
    <w:p w:rsidR="00AC70F0" w:rsidRPr="00AC70F0" w:rsidRDefault="00AC70F0" w:rsidP="00BB1BE1">
      <w:pPr>
        <w:spacing w:after="0"/>
      </w:pPr>
    </w:p>
    <w:p w:rsidR="00AC70F0" w:rsidRDefault="00AC70F0" w:rsidP="00BB1BE1">
      <w:pPr>
        <w:spacing w:after="0"/>
      </w:pPr>
    </w:p>
    <w:p w:rsidR="005B480D" w:rsidRDefault="005B480D"/>
    <w:p w:rsidR="009E1DC7" w:rsidRDefault="00A22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Revised </w:t>
      </w:r>
      <w:r w:rsidR="00AA7ED9">
        <w:t>8/3</w:t>
      </w:r>
      <w:r>
        <w:t>/2016</w:t>
      </w:r>
    </w:p>
    <w:sectPr w:rsidR="009E1DC7" w:rsidSect="00E34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1843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B55D0"/>
    <w:multiLevelType w:val="hybridMultilevel"/>
    <w:tmpl w:val="C4BE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9FF"/>
    <w:multiLevelType w:val="hybridMultilevel"/>
    <w:tmpl w:val="13B6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C2276"/>
    <w:multiLevelType w:val="hybridMultilevel"/>
    <w:tmpl w:val="A1E8E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2653F"/>
    <w:multiLevelType w:val="hybridMultilevel"/>
    <w:tmpl w:val="D830212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140648C"/>
    <w:multiLevelType w:val="hybridMultilevel"/>
    <w:tmpl w:val="116CCE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AC63B1"/>
    <w:multiLevelType w:val="hybridMultilevel"/>
    <w:tmpl w:val="8264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80B0F"/>
    <w:multiLevelType w:val="hybridMultilevel"/>
    <w:tmpl w:val="FC7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739AA"/>
    <w:multiLevelType w:val="hybridMultilevel"/>
    <w:tmpl w:val="FF18D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6F4F"/>
    <w:multiLevelType w:val="hybridMultilevel"/>
    <w:tmpl w:val="030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E0CF8"/>
    <w:multiLevelType w:val="hybridMultilevel"/>
    <w:tmpl w:val="FA8EA1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477DD"/>
    <w:multiLevelType w:val="hybridMultilevel"/>
    <w:tmpl w:val="DCD22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44C62"/>
    <w:multiLevelType w:val="hybridMultilevel"/>
    <w:tmpl w:val="2450627A"/>
    <w:lvl w:ilvl="0" w:tplc="04090013">
      <w:start w:val="1"/>
      <w:numFmt w:val="upperRoman"/>
      <w:lvlText w:val="%1."/>
      <w:lvlJc w:val="righ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A590552"/>
    <w:multiLevelType w:val="hybridMultilevel"/>
    <w:tmpl w:val="9B96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C7"/>
    <w:rsid w:val="00001823"/>
    <w:rsid w:val="000A1FF1"/>
    <w:rsid w:val="000A4ADD"/>
    <w:rsid w:val="000E305B"/>
    <w:rsid w:val="0012238F"/>
    <w:rsid w:val="0012731F"/>
    <w:rsid w:val="00162F1C"/>
    <w:rsid w:val="001E4E6A"/>
    <w:rsid w:val="002039E3"/>
    <w:rsid w:val="00226B2D"/>
    <w:rsid w:val="00227753"/>
    <w:rsid w:val="002460C8"/>
    <w:rsid w:val="00262417"/>
    <w:rsid w:val="00281220"/>
    <w:rsid w:val="002B6E95"/>
    <w:rsid w:val="002D159F"/>
    <w:rsid w:val="00355791"/>
    <w:rsid w:val="004272C3"/>
    <w:rsid w:val="00442B9C"/>
    <w:rsid w:val="00461587"/>
    <w:rsid w:val="004C78FD"/>
    <w:rsid w:val="00525918"/>
    <w:rsid w:val="00542020"/>
    <w:rsid w:val="00542C53"/>
    <w:rsid w:val="005B480D"/>
    <w:rsid w:val="005F393D"/>
    <w:rsid w:val="00611F2A"/>
    <w:rsid w:val="00681799"/>
    <w:rsid w:val="00696722"/>
    <w:rsid w:val="006A7921"/>
    <w:rsid w:val="00714649"/>
    <w:rsid w:val="00723489"/>
    <w:rsid w:val="00724294"/>
    <w:rsid w:val="007267CF"/>
    <w:rsid w:val="007A0EC7"/>
    <w:rsid w:val="007E6003"/>
    <w:rsid w:val="00820085"/>
    <w:rsid w:val="00863D0F"/>
    <w:rsid w:val="008A755D"/>
    <w:rsid w:val="008D2FCE"/>
    <w:rsid w:val="009009DA"/>
    <w:rsid w:val="0093557B"/>
    <w:rsid w:val="00941813"/>
    <w:rsid w:val="009609C2"/>
    <w:rsid w:val="00976827"/>
    <w:rsid w:val="009C50C3"/>
    <w:rsid w:val="009E1DC7"/>
    <w:rsid w:val="009F52D1"/>
    <w:rsid w:val="009F7073"/>
    <w:rsid w:val="00A11F30"/>
    <w:rsid w:val="00A22C10"/>
    <w:rsid w:val="00A2418C"/>
    <w:rsid w:val="00AA2D5D"/>
    <w:rsid w:val="00AA7ED9"/>
    <w:rsid w:val="00AC5125"/>
    <w:rsid w:val="00AC70F0"/>
    <w:rsid w:val="00AE29E6"/>
    <w:rsid w:val="00AF5549"/>
    <w:rsid w:val="00B12771"/>
    <w:rsid w:val="00B14DFB"/>
    <w:rsid w:val="00BB1BE1"/>
    <w:rsid w:val="00BB6A64"/>
    <w:rsid w:val="00C206BF"/>
    <w:rsid w:val="00D34304"/>
    <w:rsid w:val="00D73FB0"/>
    <w:rsid w:val="00E1759B"/>
    <w:rsid w:val="00E226B7"/>
    <w:rsid w:val="00E3492A"/>
    <w:rsid w:val="00E57754"/>
    <w:rsid w:val="00ED0CA4"/>
    <w:rsid w:val="00F12215"/>
    <w:rsid w:val="00F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625B4-1B13-4AB0-81A7-92B21BF3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2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0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2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72C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272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2C3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4272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2C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272C3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9768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E600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seoc@alask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sseoc@alask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respond.alaska.g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Health and Social Services</Company>
  <LinksUpToDate>false</LinksUpToDate>
  <CharactersWithSpaces>4038</CharactersWithSpaces>
  <SharedDoc>false</SharedDoc>
  <HLinks>
    <vt:vector size="18" baseType="variant">
      <vt:variant>
        <vt:i4>5832807</vt:i4>
      </vt:variant>
      <vt:variant>
        <vt:i4>6</vt:i4>
      </vt:variant>
      <vt:variant>
        <vt:i4>0</vt:i4>
      </vt:variant>
      <vt:variant>
        <vt:i4>5</vt:i4>
      </vt:variant>
      <vt:variant>
        <vt:lpwstr>mailto:dhsseoc@alaska.gov</vt:lpwstr>
      </vt:variant>
      <vt:variant>
        <vt:lpwstr/>
      </vt:variant>
      <vt:variant>
        <vt:i4>5832807</vt:i4>
      </vt:variant>
      <vt:variant>
        <vt:i4>3</vt:i4>
      </vt:variant>
      <vt:variant>
        <vt:i4>0</vt:i4>
      </vt:variant>
      <vt:variant>
        <vt:i4>5</vt:i4>
      </vt:variant>
      <vt:variant>
        <vt:lpwstr>mailto:dhsseoc@alaska.gov</vt:lpwstr>
      </vt:variant>
      <vt:variant>
        <vt:lpwstr/>
      </vt:variant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http://www.akrespond.alaska.gov/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smpridgen-webb</dc:creator>
  <cp:lastModifiedBy>Lynn Colson</cp:lastModifiedBy>
  <cp:revision>2</cp:revision>
  <dcterms:created xsi:type="dcterms:W3CDTF">2017-04-07T20:46:00Z</dcterms:created>
  <dcterms:modified xsi:type="dcterms:W3CDTF">2017-04-07T20:46:00Z</dcterms:modified>
</cp:coreProperties>
</file>