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18" w:rsidRDefault="00B32E18" w:rsidP="00B32E18">
      <w:pPr>
        <w:pStyle w:val="Heading1"/>
        <w:jc w:val="center"/>
      </w:pPr>
      <w:bookmarkStart w:id="0" w:name="_Toc420582164"/>
      <w:bookmarkStart w:id="1" w:name="_GoBack"/>
      <w:bookmarkEnd w:id="1"/>
      <w:r w:rsidRPr="00B32E18">
        <w:rPr>
          <w:noProof/>
        </w:rPr>
        <w:drawing>
          <wp:inline distT="0" distB="0" distL="0" distR="0">
            <wp:extent cx="1352550" cy="587828"/>
            <wp:effectExtent l="19050" t="19050" r="19050" b="21772"/>
            <wp:docPr id="3" name="Picture 1" descr="C:\Users\LeMay_Doug\AppData\Local\Microsoft\Windows\Temporary Internet Files\Content.Outlook\VCC5V09I\AlaskaRespons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LeMay_Doug\AppData\Local\Microsoft\Windows\Temporary Internet Files\Content.Outlook\VCC5V09I\AlaskaResponse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5" cy="5913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32E18" w:rsidRPr="00B32E18" w:rsidRDefault="00B32E18" w:rsidP="00B32E18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"</w:t>
      </w:r>
      <w:r w:rsidRPr="00B32E18">
        <w:rPr>
          <w:sz w:val="36"/>
          <w:szCs w:val="36"/>
        </w:rPr>
        <w:t>GO BAG</w:t>
      </w:r>
      <w:r>
        <w:rPr>
          <w:sz w:val="36"/>
          <w:szCs w:val="36"/>
        </w:rPr>
        <w:t>"</w:t>
      </w:r>
      <w:r w:rsidRPr="00B32E18">
        <w:rPr>
          <w:sz w:val="36"/>
          <w:szCs w:val="36"/>
        </w:rPr>
        <w:t xml:space="preserve"> List for 72 hour Deployment</w:t>
      </w:r>
      <w:bookmarkEnd w:id="0"/>
    </w:p>
    <w:p w:rsidR="00B32E18" w:rsidRDefault="00B32E18" w:rsidP="00B32E18">
      <w:pPr>
        <w:pStyle w:val="Normal1"/>
      </w:pPr>
      <w:r>
        <w:tab/>
      </w:r>
    </w:p>
    <w:p w:rsidR="00B32E18" w:rsidRPr="00B32E18" w:rsidRDefault="00B32E18" w:rsidP="00B32E18">
      <w:pPr>
        <w:pStyle w:val="Normal1"/>
      </w:pPr>
      <w:r w:rsidRPr="001C3723">
        <w:rPr>
          <w:rFonts w:asciiTheme="minorHAnsi" w:eastAsia="Times New Roman" w:hAnsiTheme="minorHAnsi" w:cs="Calibri"/>
          <w:i/>
          <w:sz w:val="24"/>
          <w:szCs w:val="24"/>
        </w:rPr>
        <w:t>*These items are supplied by AK Respond.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8"/>
        <w:gridCol w:w="1086"/>
        <w:gridCol w:w="1086"/>
        <w:gridCol w:w="1086"/>
      </w:tblGrid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Item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Packed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Check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Check</w:t>
            </w: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AK Respond </w:t>
            </w:r>
            <w:r w:rsidRPr="0061508A">
              <w:rPr>
                <w:rFonts w:eastAsia="Calibri" w:cs="Arial"/>
                <w:iCs/>
                <w:sz w:val="24"/>
                <w:szCs w:val="24"/>
              </w:rPr>
              <w:t>Identification (ID) Badge</w:t>
            </w:r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Copy of Professional License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Driver’s License or State Identification Card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AK Respond Scrub Top</w:t>
            </w:r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 xml:space="preserve">Professional Comfortable 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Clothing /can be layered </w:t>
            </w:r>
          </w:p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(at least 1 change)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B32E18">
              <w:rPr>
                <w:rFonts w:eastAsia="Calibri" w:cs="Arial"/>
                <w:iCs/>
                <w:sz w:val="24"/>
                <w:szCs w:val="24"/>
              </w:rPr>
              <w:t>Outer Wear Clothing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 (</w:t>
            </w:r>
            <w:r>
              <w:rPr>
                <w:rFonts w:eastAsia="Calibri" w:cs="Arial"/>
                <w:iCs/>
                <w:sz w:val="24"/>
                <w:szCs w:val="24"/>
              </w:rPr>
              <w:t>Jacket, Pants, Gloves, Hat, B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oots</w:t>
            </w:r>
            <w:r>
              <w:rPr>
                <w:rFonts w:eastAsia="Calibri" w:cs="Arial"/>
                <w:iCs/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Shoes – additional pair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Shower shoes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Sleep W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ear</w:t>
            </w:r>
            <w:r>
              <w:rPr>
                <w:rFonts w:eastAsia="Calibri" w:cs="Arial"/>
                <w:iCs/>
                <w:sz w:val="24"/>
                <w:szCs w:val="24"/>
              </w:rPr>
              <w:t xml:space="preserve"> and </w:t>
            </w:r>
            <w:r w:rsidRPr="0061508A">
              <w:rPr>
                <w:rFonts w:eastAsia="Calibri" w:cs="Arial"/>
                <w:iCs/>
                <w:sz w:val="24"/>
                <w:szCs w:val="24"/>
              </w:rPr>
              <w:t>Sleep</w:t>
            </w:r>
            <w:r>
              <w:rPr>
                <w:rFonts w:eastAsia="Calibri" w:cs="Arial"/>
                <w:iCs/>
                <w:sz w:val="24"/>
                <w:szCs w:val="24"/>
              </w:rPr>
              <w:t xml:space="preserve"> Mask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Sleeping bag (as necessary)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Ear plugs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Personal Care Items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Prescription M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edications (personal) - 7 day supply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Personal Reading M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aterial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 xml:space="preserve">Snack </w:t>
            </w:r>
            <w:r w:rsidRPr="00B32E18">
              <w:rPr>
                <w:rFonts w:eastAsia="Calibri" w:cs="Arial"/>
                <w:iCs/>
                <w:sz w:val="24"/>
                <w:szCs w:val="24"/>
              </w:rPr>
              <w:t>Foo</w:t>
            </w:r>
            <w:r>
              <w:rPr>
                <w:rFonts w:eastAsia="Calibri" w:cs="Arial"/>
                <w:iCs/>
                <w:sz w:val="24"/>
                <w:szCs w:val="24"/>
              </w:rPr>
              <w:t>d Pre-P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ackaged (72 hours)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Gloves </w:t>
            </w:r>
            <w:r>
              <w:rPr>
                <w:rFonts w:eastAsia="Calibri" w:cs="Arial"/>
                <w:iCs/>
                <w:sz w:val="24"/>
                <w:szCs w:val="24"/>
              </w:rPr>
              <w:t>(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Non latex</w:t>
            </w:r>
            <w:r>
              <w:rPr>
                <w:rFonts w:eastAsia="Calibri" w:cs="Arial"/>
                <w:iCs/>
                <w:sz w:val="24"/>
                <w:szCs w:val="24"/>
              </w:rPr>
              <w:t>)*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Flashlight with Extra B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atteries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proofErr w:type="spellStart"/>
            <w:r w:rsidRPr="009F344E">
              <w:rPr>
                <w:rFonts w:eastAsia="Calibri" w:cs="Arial"/>
                <w:iCs/>
                <w:sz w:val="24"/>
                <w:szCs w:val="24"/>
              </w:rPr>
              <w:t>Smashlight</w:t>
            </w:r>
            <w:proofErr w:type="spellEnd"/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Tumbler or </w:t>
            </w:r>
            <w:r>
              <w:rPr>
                <w:rFonts w:eastAsia="Calibri" w:cs="Arial"/>
                <w:iCs/>
                <w:sz w:val="24"/>
                <w:szCs w:val="24"/>
              </w:rPr>
              <w:t>Drinking C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up</w:t>
            </w:r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Bottled Water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Bug Repellent (as n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eeded)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61508A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61508A">
              <w:rPr>
                <w:rFonts w:eastAsia="Calibri" w:cs="Arial"/>
                <w:iCs/>
                <w:sz w:val="24"/>
                <w:szCs w:val="24"/>
              </w:rPr>
              <w:t>Cell Phone and Charger (utilities may be disrupted initially)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61508A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B32E18">
              <w:rPr>
                <w:rFonts w:eastAsia="Calibri" w:cs="Arial"/>
                <w:iCs/>
                <w:sz w:val="24"/>
                <w:szCs w:val="24"/>
              </w:rPr>
              <w:t>Watch (with second hand)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61508A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61508A">
              <w:rPr>
                <w:rFonts w:eastAsia="Calibri" w:cs="Arial"/>
                <w:iCs/>
                <w:sz w:val="24"/>
                <w:szCs w:val="24"/>
              </w:rPr>
              <w:t>Paper/Pen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:rsidTr="007A5012">
        <w:trPr>
          <w:trHeight w:val="276"/>
        </w:trPr>
        <w:tc>
          <w:tcPr>
            <w:tcW w:w="6318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Whistle</w:t>
            </w:r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</w:tbl>
    <w:p w:rsidR="00B32E18" w:rsidRPr="001C3723" w:rsidRDefault="00B32E18" w:rsidP="00B32E18">
      <w:pPr>
        <w:pStyle w:val="Normal1"/>
        <w:rPr>
          <w:rFonts w:asciiTheme="minorHAnsi" w:eastAsia="Calibri" w:hAnsiTheme="minorHAnsi" w:cs="Calibri"/>
          <w:b/>
          <w:i/>
          <w:sz w:val="24"/>
          <w:szCs w:val="24"/>
        </w:rPr>
      </w:pPr>
    </w:p>
    <w:p w:rsidR="009A3A9B" w:rsidRDefault="00B051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824865</wp:posOffset>
                </wp:positionV>
                <wp:extent cx="1796415" cy="359410"/>
                <wp:effectExtent l="1270" t="127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1B6" w:rsidRDefault="00B051B6">
                            <w:r>
                              <w:t>Revised 04/07/16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5pt;margin-top:64.95pt;width:141.4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FzhAIAAA8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" stroked="f">
                <v:textbox>
                  <w:txbxContent>
                    <w:p w:rsidR="00B051B6" w:rsidRDefault="00B051B6">
                      <w:r>
                        <w:t>Revised 04/07/16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A9B" w:rsidSect="00E1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18"/>
    <w:rsid w:val="00110885"/>
    <w:rsid w:val="001947C5"/>
    <w:rsid w:val="002568CE"/>
    <w:rsid w:val="004E4DD2"/>
    <w:rsid w:val="005F0EB4"/>
    <w:rsid w:val="00B051B6"/>
    <w:rsid w:val="00B32E18"/>
    <w:rsid w:val="00E1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F7FD3C2E-4D91-4035-BFC2-2270586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B32E18"/>
    <w:pPr>
      <w:spacing w:after="0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B3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LeMay</dc:creator>
  <cp:lastModifiedBy>Lynn Colson</cp:lastModifiedBy>
  <cp:revision>2</cp:revision>
  <dcterms:created xsi:type="dcterms:W3CDTF">2016-08-01T20:48:00Z</dcterms:created>
  <dcterms:modified xsi:type="dcterms:W3CDTF">2016-08-01T20:48:00Z</dcterms:modified>
</cp:coreProperties>
</file>